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98" w:type="dxa"/>
        <w:jc w:val="center"/>
        <w:tblLook w:val="04A0" w:firstRow="1" w:lastRow="0" w:firstColumn="1" w:lastColumn="0" w:noHBand="0" w:noVBand="1"/>
      </w:tblPr>
      <w:tblGrid>
        <w:gridCol w:w="1901"/>
        <w:gridCol w:w="1656"/>
        <w:gridCol w:w="1311"/>
        <w:gridCol w:w="1341"/>
        <w:gridCol w:w="1394"/>
        <w:gridCol w:w="1395"/>
      </w:tblGrid>
      <w:tr w:rsidR="00DC1394" w:rsidRPr="00DC1394" w14:paraId="129EBEA6" w14:textId="77777777" w:rsidTr="00ED7A06">
        <w:trPr>
          <w:trHeight w:val="570"/>
          <w:jc w:val="center"/>
        </w:trPr>
        <w:tc>
          <w:tcPr>
            <w:tcW w:w="8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F150" w14:textId="77777777" w:rsidR="009B70BF" w:rsidRDefault="00DC1394" w:rsidP="00E170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44"/>
                <w:szCs w:val="44"/>
              </w:rPr>
            </w:pPr>
            <w:bookmarkStart w:id="0" w:name="_GoBack"/>
            <w:bookmarkEnd w:id="0"/>
            <w:r w:rsidRPr="00DC1394">
              <w:rPr>
                <w:rFonts w:ascii="Georgia" w:eastAsia="Times New Roman" w:hAnsi="Georgia" w:cs="Calibri"/>
                <w:b/>
                <w:bCs/>
                <w:color w:val="000000"/>
                <w:sz w:val="44"/>
                <w:szCs w:val="44"/>
              </w:rPr>
              <w:t>Din</w:t>
            </w:r>
            <w:r w:rsidR="008D736C">
              <w:rPr>
                <w:rFonts w:ascii="Georgia" w:eastAsia="Times New Roman" w:hAnsi="Georgia" w:cs="Calibri"/>
                <w:b/>
                <w:bCs/>
                <w:color w:val="000000"/>
                <w:sz w:val="44"/>
                <w:szCs w:val="44"/>
              </w:rPr>
              <w:t xml:space="preserve">ing Dollar Usage Chart </w:t>
            </w:r>
          </w:p>
          <w:p w14:paraId="0A7055F8" w14:textId="686CD0C2" w:rsidR="00DC1394" w:rsidRPr="00DC1394" w:rsidRDefault="00411BD2" w:rsidP="00744071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Georgia" w:eastAsia="Times New Roman" w:hAnsi="Georgia" w:cs="Calibri"/>
                <w:b/>
                <w:bCs/>
                <w:color w:val="000000"/>
                <w:sz w:val="44"/>
                <w:szCs w:val="44"/>
              </w:rPr>
              <w:t>Spring 2024</w:t>
            </w:r>
          </w:p>
        </w:tc>
      </w:tr>
      <w:tr w:rsidR="00A2029A" w:rsidRPr="00DC1394" w14:paraId="6116390B" w14:textId="77777777" w:rsidTr="00ED7A06">
        <w:trPr>
          <w:trHeight w:val="315"/>
          <w:jc w:val="center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9894" w14:textId="77777777" w:rsidR="00DC1394" w:rsidRPr="00DC1394" w:rsidRDefault="00DC1394" w:rsidP="00DC1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6166" w14:textId="77777777" w:rsidR="00DC1394" w:rsidRPr="00DC1394" w:rsidRDefault="00DC1394" w:rsidP="00DC1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54CE" w14:textId="77777777" w:rsidR="00DC1394" w:rsidRPr="00DC1394" w:rsidRDefault="00DC1394" w:rsidP="00DC1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3902" w14:textId="77777777" w:rsidR="00DC1394" w:rsidRPr="00DC1394" w:rsidRDefault="00DC1394" w:rsidP="00DC1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B0DB" w14:textId="77777777" w:rsidR="00DC1394" w:rsidRPr="00DC1394" w:rsidRDefault="00DC1394" w:rsidP="00DC1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A510" w14:textId="77777777" w:rsidR="00DC1394" w:rsidRPr="00DC1394" w:rsidRDefault="00DC1394" w:rsidP="00DC1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C1394" w:rsidRPr="00DC1394" w14:paraId="40935EC0" w14:textId="77777777" w:rsidTr="00ED7A06">
        <w:trPr>
          <w:trHeight w:val="1260"/>
          <w:jc w:val="center"/>
        </w:trPr>
        <w:tc>
          <w:tcPr>
            <w:tcW w:w="8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739DB" w14:textId="77777777" w:rsidR="00DC1394" w:rsidRPr="00DC1394" w:rsidRDefault="00DC1394" w:rsidP="0015463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</w:rPr>
            </w:pPr>
            <w:r w:rsidRPr="00DC139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</w:rPr>
              <w:t xml:space="preserve">The balance listed is the recommended balance for the </w:t>
            </w:r>
            <w:r w:rsidR="0015463E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</w:rPr>
              <w:t xml:space="preserve">beginning </w:t>
            </w:r>
            <w:r w:rsidRPr="00DC139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</w:rPr>
              <w:t xml:space="preserve">of the listed week. </w:t>
            </w:r>
            <w:r w:rsidRPr="006C4176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</w:rPr>
              <w:t xml:space="preserve">Dining Dollar usages will vary </w:t>
            </w:r>
            <w:r w:rsidR="006C4176" w:rsidRPr="006C4176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</w:rPr>
              <w:t>slightly from week to week</w:t>
            </w:r>
            <w:r w:rsidRPr="00DC139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</w:rPr>
              <w:t xml:space="preserve"> based on the academic schedule and your own purchasing patterns. This chart does not reflect Dining Dollar usage during any break periods. </w:t>
            </w:r>
          </w:p>
        </w:tc>
      </w:tr>
    </w:tbl>
    <w:p w14:paraId="70A6BD92" w14:textId="77777777" w:rsidR="00ED7A06" w:rsidRDefault="00ED7A06" w:rsidP="00DC1394">
      <w:pPr>
        <w:jc w:val="center"/>
      </w:pPr>
    </w:p>
    <w:tbl>
      <w:tblPr>
        <w:tblW w:w="7459" w:type="dxa"/>
        <w:tblInd w:w="4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813"/>
        <w:gridCol w:w="813"/>
        <w:gridCol w:w="813"/>
        <w:gridCol w:w="980"/>
        <w:gridCol w:w="980"/>
        <w:gridCol w:w="1224"/>
      </w:tblGrid>
      <w:tr w:rsidR="00411BD2" w:rsidRPr="00411BD2" w14:paraId="42173AD7" w14:textId="77777777" w:rsidTr="00411BD2">
        <w:trPr>
          <w:trHeight w:val="31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7D38E" w14:textId="77777777" w:rsidR="00411BD2" w:rsidRPr="00411BD2" w:rsidRDefault="00411BD2" w:rsidP="0041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9BA941" w14:textId="77777777" w:rsidR="00411BD2" w:rsidRPr="00411BD2" w:rsidRDefault="00411BD2" w:rsidP="00411B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Plan 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B90511" w14:textId="77777777" w:rsidR="00411BD2" w:rsidRPr="00411BD2" w:rsidRDefault="00411BD2" w:rsidP="00411B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Plan B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0450F0" w14:textId="77777777" w:rsidR="00411BD2" w:rsidRPr="00411BD2" w:rsidRDefault="00411BD2" w:rsidP="00411B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Plan C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A1F973" w14:textId="77777777" w:rsidR="00411BD2" w:rsidRPr="00411BD2" w:rsidRDefault="00411BD2" w:rsidP="00411B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Plan 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EBB10E" w14:textId="77777777" w:rsidR="00411BD2" w:rsidRPr="00411BD2" w:rsidRDefault="00411BD2" w:rsidP="00411B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Plan 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F43EB9" w14:textId="77777777" w:rsidR="00411BD2" w:rsidRPr="00411BD2" w:rsidRDefault="00411BD2" w:rsidP="00411B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Off Campus</w:t>
            </w:r>
          </w:p>
        </w:tc>
      </w:tr>
      <w:tr w:rsidR="00411BD2" w:rsidRPr="00411BD2" w14:paraId="2D48AD02" w14:textId="77777777" w:rsidTr="00411B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3918DC" w14:textId="77777777" w:rsidR="00411BD2" w:rsidRPr="00411BD2" w:rsidRDefault="00411BD2" w:rsidP="00411B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 Week Average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7B5FB9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$35.59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43811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$47.35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7A164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$56.18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76287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$67.94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4BAFC8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$75.88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A3643A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$22.94</w:t>
            </w:r>
          </w:p>
        </w:tc>
      </w:tr>
      <w:tr w:rsidR="00411BD2" w:rsidRPr="00411BD2" w14:paraId="3946B79B" w14:textId="77777777" w:rsidTr="00411B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1F872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1/14/2024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451BA3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$605.00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41F71C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$805.00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1BE2B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$955.00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D95F06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$1,155.00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1F3622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$1,290.00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6C7EBC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$390.00</w:t>
            </w:r>
          </w:p>
        </w:tc>
      </w:tr>
      <w:tr w:rsidR="00411BD2" w:rsidRPr="00411BD2" w14:paraId="518BB9FB" w14:textId="77777777" w:rsidTr="00411B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FE8FD2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1/21/2024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E05551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$569.41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5B8BA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$757.65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C892B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$898.82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27090C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$1,087.06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92BD57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$1,214.12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76A459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$367.06</w:t>
            </w:r>
          </w:p>
        </w:tc>
      </w:tr>
      <w:tr w:rsidR="00411BD2" w:rsidRPr="00411BD2" w14:paraId="02D4323E" w14:textId="77777777" w:rsidTr="00411B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AAF3E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1/28/2024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1CE4B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$533.82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3D4F6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$710.29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6DA04F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$842.65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ABC05A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$1,019.12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FF2BBD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$1,138.24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DD2FD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$344.12</w:t>
            </w:r>
          </w:p>
        </w:tc>
      </w:tr>
      <w:tr w:rsidR="00411BD2" w:rsidRPr="00411BD2" w14:paraId="46C8FB9F" w14:textId="77777777" w:rsidTr="00411B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983198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2/4/2024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B3491E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$498.24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08FDE3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$662.94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0095D9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$786.47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81A25D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$951.18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E9F6F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$1,062.35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70A0A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$321.18</w:t>
            </w:r>
          </w:p>
        </w:tc>
      </w:tr>
      <w:tr w:rsidR="00411BD2" w:rsidRPr="00411BD2" w14:paraId="4B69CF1E" w14:textId="77777777" w:rsidTr="00411B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69E25F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2/11/2024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E27A9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$462.65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E44D5F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$615.59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78FA38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$730.29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425D7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$883.24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CC675E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$986.47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A67F2D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$298.24</w:t>
            </w:r>
          </w:p>
        </w:tc>
      </w:tr>
      <w:tr w:rsidR="00411BD2" w:rsidRPr="00411BD2" w14:paraId="45B3A3B4" w14:textId="77777777" w:rsidTr="00411B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3B8FB6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2/18/2024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04FC7A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$427.06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6B979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$568.24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6390A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$674.12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7058D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$815.29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CF905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$910.59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A05F6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$275.29</w:t>
            </w:r>
          </w:p>
        </w:tc>
      </w:tr>
      <w:tr w:rsidR="00411BD2" w:rsidRPr="00411BD2" w14:paraId="0799EF69" w14:textId="77777777" w:rsidTr="00411B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9C1B9E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2/25/2024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C2D1A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$391.47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BB1AD5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$520.88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0135CB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$617.94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79937A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$747.35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1B63EB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$834.71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51BD8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$252.35</w:t>
            </w:r>
          </w:p>
        </w:tc>
      </w:tr>
      <w:tr w:rsidR="00411BD2" w:rsidRPr="00411BD2" w14:paraId="6BC8ABAC" w14:textId="77777777" w:rsidTr="00411B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823CA0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3/3/2024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5CA9C8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$355.88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EA2775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$473.53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F8B07D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$561.76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75DFC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$679.41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FD7DB0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$758.82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CBAD6B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$229.41</w:t>
            </w:r>
          </w:p>
        </w:tc>
      </w:tr>
      <w:tr w:rsidR="00411BD2" w:rsidRPr="00411BD2" w14:paraId="0448494E" w14:textId="77777777" w:rsidTr="00411B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6EE278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3/10/2024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F2C82C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$320.29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60AC3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$426.18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7BF52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$505.59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437684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$611.47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269BF6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$682.94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3A2FCA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$206.47</w:t>
            </w:r>
          </w:p>
        </w:tc>
      </w:tr>
      <w:tr w:rsidR="00411BD2" w:rsidRPr="00411BD2" w14:paraId="3667EC01" w14:textId="77777777" w:rsidTr="00411B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30DE8B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3/17/2024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D676F4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$284.71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9E3D2A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$378.82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D5BE2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$449.41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DACEF6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$543.53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426F62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$607.06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B7EF67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$183.53</w:t>
            </w:r>
          </w:p>
        </w:tc>
      </w:tr>
      <w:tr w:rsidR="00411BD2" w:rsidRPr="00411BD2" w14:paraId="049C2422" w14:textId="77777777" w:rsidTr="00411B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D5B4EF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3/24/2024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8B151B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$249.12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B5964F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$331.47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5424F3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$393.24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A465D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$475.59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0A0739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$531.18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C3DA57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$160.59</w:t>
            </w:r>
          </w:p>
        </w:tc>
      </w:tr>
      <w:tr w:rsidR="00411BD2" w:rsidRPr="00411BD2" w14:paraId="3874A467" w14:textId="77777777" w:rsidTr="00411B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22EEBC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3/31/2024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D9FF3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$213.53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5E1EA4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$284.12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A72F6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$337.06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A92B19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$407.65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E72EDB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$455.29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FD5A0E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$137.65</w:t>
            </w:r>
          </w:p>
        </w:tc>
      </w:tr>
      <w:tr w:rsidR="00411BD2" w:rsidRPr="00411BD2" w14:paraId="50D969F1" w14:textId="77777777" w:rsidTr="00411B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D3CAAC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4/7/2024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131EB8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$177.94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E6AF7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$236.76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A2B6B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$280.88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508FB8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$339.71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67C9C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$379.41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071C66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$114.71</w:t>
            </w:r>
          </w:p>
        </w:tc>
      </w:tr>
      <w:tr w:rsidR="00411BD2" w:rsidRPr="00411BD2" w14:paraId="24E3A776" w14:textId="77777777" w:rsidTr="00411B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C22A2D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4/14/2024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8E235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$142.35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6AC746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$189.41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6B8EDD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$224.71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54843C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$271.76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1C45F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$303.53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B72A6F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$91.76</w:t>
            </w:r>
          </w:p>
        </w:tc>
      </w:tr>
      <w:tr w:rsidR="00411BD2" w:rsidRPr="00411BD2" w14:paraId="26648FD7" w14:textId="77777777" w:rsidTr="00411B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9C2A1D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4/21/2024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0888FB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$106.76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7BD4FB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$142.06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68C2E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$168.53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5CA93C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$203.82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D54B8B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$227.65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C0114E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$68.82</w:t>
            </w:r>
          </w:p>
        </w:tc>
      </w:tr>
      <w:tr w:rsidR="00411BD2" w:rsidRPr="00411BD2" w14:paraId="3911ABDE" w14:textId="77777777" w:rsidTr="00411B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EEEEA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4/28/2024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06F9C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$71.18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67D08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$94.71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8748B7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$112.35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FD5FC8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$135.88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506A8C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$151.76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147677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$45.88</w:t>
            </w:r>
          </w:p>
        </w:tc>
      </w:tr>
      <w:tr w:rsidR="00411BD2" w:rsidRPr="00411BD2" w14:paraId="25071BB8" w14:textId="77777777" w:rsidTr="00411BD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B2834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5/5/2024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425AD0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$35.59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A2A438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$47.35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2DD32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$56.18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6CB3E3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$67.94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3DD472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$75.88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0BF01B" w14:textId="77777777" w:rsidR="00411BD2" w:rsidRPr="00411BD2" w:rsidRDefault="00411BD2" w:rsidP="00411B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1BD2">
              <w:rPr>
                <w:rFonts w:ascii="Arial" w:eastAsia="Times New Roman" w:hAnsi="Arial" w:cs="Arial"/>
                <w:sz w:val="20"/>
                <w:szCs w:val="20"/>
              </w:rPr>
              <w:t>$22.94</w:t>
            </w:r>
          </w:p>
        </w:tc>
      </w:tr>
    </w:tbl>
    <w:p w14:paraId="446A544D" w14:textId="77777777" w:rsidR="00ED7A06" w:rsidRDefault="00ED7A06" w:rsidP="00ED7A06"/>
    <w:sectPr w:rsidR="00ED7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94"/>
    <w:rsid w:val="00083D28"/>
    <w:rsid w:val="0009658A"/>
    <w:rsid w:val="000E34D1"/>
    <w:rsid w:val="00124220"/>
    <w:rsid w:val="00133A4B"/>
    <w:rsid w:val="0015463E"/>
    <w:rsid w:val="00246B4D"/>
    <w:rsid w:val="00282CA0"/>
    <w:rsid w:val="00291F71"/>
    <w:rsid w:val="002B1802"/>
    <w:rsid w:val="003C40F0"/>
    <w:rsid w:val="00411BD2"/>
    <w:rsid w:val="00416917"/>
    <w:rsid w:val="004503F9"/>
    <w:rsid w:val="004B533D"/>
    <w:rsid w:val="004F4FB6"/>
    <w:rsid w:val="005001F2"/>
    <w:rsid w:val="00577C78"/>
    <w:rsid w:val="00584948"/>
    <w:rsid w:val="005956B3"/>
    <w:rsid w:val="0065115C"/>
    <w:rsid w:val="00671661"/>
    <w:rsid w:val="006C4176"/>
    <w:rsid w:val="006D1E14"/>
    <w:rsid w:val="006F0EE8"/>
    <w:rsid w:val="00744071"/>
    <w:rsid w:val="007A2851"/>
    <w:rsid w:val="007B5597"/>
    <w:rsid w:val="007F3B33"/>
    <w:rsid w:val="0089740A"/>
    <w:rsid w:val="008D1632"/>
    <w:rsid w:val="008D60E2"/>
    <w:rsid w:val="008D736C"/>
    <w:rsid w:val="008D795A"/>
    <w:rsid w:val="009B70BF"/>
    <w:rsid w:val="009C0CB2"/>
    <w:rsid w:val="009D48C5"/>
    <w:rsid w:val="00A2029A"/>
    <w:rsid w:val="00A23C38"/>
    <w:rsid w:val="00A5715E"/>
    <w:rsid w:val="00B02FA8"/>
    <w:rsid w:val="00B20B52"/>
    <w:rsid w:val="00B95C59"/>
    <w:rsid w:val="00C16FF5"/>
    <w:rsid w:val="00C226D4"/>
    <w:rsid w:val="00C41BF0"/>
    <w:rsid w:val="00D20701"/>
    <w:rsid w:val="00D50770"/>
    <w:rsid w:val="00DC1394"/>
    <w:rsid w:val="00DE1BFB"/>
    <w:rsid w:val="00E16EDC"/>
    <w:rsid w:val="00E1707D"/>
    <w:rsid w:val="00E971FA"/>
    <w:rsid w:val="00EB7936"/>
    <w:rsid w:val="00EC7B1B"/>
    <w:rsid w:val="00ED7A06"/>
    <w:rsid w:val="00F44CCB"/>
    <w:rsid w:val="00FA382C"/>
    <w:rsid w:val="00FD0BDE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C87C9"/>
  <w15:docId w15:val="{2135F0C4-FB6B-4424-A733-031E88CD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AD00F-2828-4596-AF2C-2CDF74876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Puget Sound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MacKenzie A Giusti</dc:creator>
  <cp:lastModifiedBy>Chelsea Bairey</cp:lastModifiedBy>
  <cp:revision>2</cp:revision>
  <cp:lastPrinted>2019-01-14T16:51:00Z</cp:lastPrinted>
  <dcterms:created xsi:type="dcterms:W3CDTF">2024-01-06T00:38:00Z</dcterms:created>
  <dcterms:modified xsi:type="dcterms:W3CDTF">2024-01-06T00:38:00Z</dcterms:modified>
</cp:coreProperties>
</file>